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88" w:rsidRPr="00250399" w:rsidRDefault="00424291" w:rsidP="00250399">
      <w:pPr>
        <w:spacing w:after="360" w:line="324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503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NOTA DE PRENSA</w:t>
      </w:r>
    </w:p>
    <w:p w:rsidR="00867288" w:rsidRPr="00250399" w:rsidRDefault="00867288" w:rsidP="00250399">
      <w:pPr>
        <w:spacing w:after="360" w:line="324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399">
        <w:rPr>
          <w:rFonts w:ascii="Arial" w:hAnsi="Arial" w:cs="Arial"/>
          <w:b/>
          <w:bCs/>
          <w:color w:val="000000" w:themeColor="text1"/>
          <w:sz w:val="24"/>
          <w:szCs w:val="24"/>
        </w:rPr>
        <w:t>10 empresas aragonesas, ejemplo de internacionalización e incorporación de jóvenes en el sector agroindustrial</w:t>
      </w:r>
      <w:r w:rsidR="006F45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para la UE</w:t>
      </w:r>
    </w:p>
    <w:p w:rsidR="00867288" w:rsidRPr="00250399" w:rsidRDefault="00867288" w:rsidP="00250399">
      <w:pPr>
        <w:spacing w:after="360" w:line="324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3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Dentro del proyecto </w:t>
      </w:r>
      <w:proofErr w:type="spellStart"/>
      <w:r w:rsidRPr="00250399">
        <w:rPr>
          <w:rFonts w:ascii="Arial" w:hAnsi="Arial" w:cs="Arial"/>
          <w:b/>
          <w:bCs/>
          <w:color w:val="000000" w:themeColor="text1"/>
          <w:sz w:val="24"/>
          <w:szCs w:val="24"/>
        </w:rPr>
        <w:t>IWBLabs</w:t>
      </w:r>
      <w:proofErr w:type="spellEnd"/>
      <w:r w:rsidRPr="002503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en el que CEOE Aragón participa junto a entidades de </w:t>
      </w:r>
      <w:r w:rsidR="006F4591">
        <w:rPr>
          <w:rFonts w:ascii="Arial" w:hAnsi="Arial" w:cs="Arial"/>
          <w:b/>
          <w:bCs/>
          <w:color w:val="000000" w:themeColor="text1"/>
          <w:sz w:val="24"/>
          <w:szCs w:val="24"/>
        </w:rPr>
        <w:t>Italia, Eslovaquia y Letonia</w:t>
      </w:r>
    </w:p>
    <w:p w:rsidR="00EB0005" w:rsidRPr="00250399" w:rsidRDefault="007A7AA2" w:rsidP="00250399">
      <w:pPr>
        <w:spacing w:after="240" w:line="30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F95A93">
        <w:rPr>
          <w:rFonts w:ascii="Arial" w:hAnsi="Arial" w:cs="Arial"/>
          <w:b/>
          <w:color w:val="000000" w:themeColor="text1"/>
        </w:rPr>
        <w:t>/11</w:t>
      </w:r>
      <w:r w:rsidR="00B74EBC" w:rsidRPr="00250399">
        <w:rPr>
          <w:rFonts w:ascii="Arial" w:hAnsi="Arial" w:cs="Arial"/>
          <w:b/>
          <w:color w:val="000000" w:themeColor="text1"/>
        </w:rPr>
        <w:t>/2017.-</w:t>
      </w:r>
      <w:r w:rsidR="00B74EBC" w:rsidRPr="00250399">
        <w:rPr>
          <w:rFonts w:ascii="Arial" w:hAnsi="Arial" w:cs="Arial"/>
          <w:color w:val="000000" w:themeColor="text1"/>
        </w:rPr>
        <w:t xml:space="preserve"> </w:t>
      </w:r>
      <w:r w:rsidR="00EB0005" w:rsidRPr="00250399">
        <w:rPr>
          <w:rFonts w:ascii="Arial" w:hAnsi="Arial" w:cs="Arial"/>
          <w:color w:val="000000" w:themeColor="text1"/>
        </w:rPr>
        <w:t xml:space="preserve">Incrementar la internacionalización de las empresas agroalimentarias y la integración laboral de jóvenes en este sector a través de la formación. Este es el principal objetivo del proyecto europeo </w:t>
      </w:r>
      <w:r w:rsidR="00EB0005" w:rsidRPr="00250399">
        <w:rPr>
          <w:rFonts w:ascii="Arial" w:hAnsi="Arial" w:cs="Arial"/>
          <w:bCs/>
          <w:color w:val="000000" w:themeColor="text1"/>
          <w:lang w:val="fr-FR"/>
        </w:rPr>
        <w:t xml:space="preserve">IWBLabs (Internacionalización del aprendizaje basado en el trabajo en el sector agroindustrial), aprobado dentro del programa </w:t>
      </w:r>
      <w:r w:rsidR="00EB0005" w:rsidRPr="00250399">
        <w:rPr>
          <w:rFonts w:ascii="Arial" w:hAnsi="Arial" w:cs="Arial"/>
          <w:bCs/>
          <w:i/>
          <w:color w:val="000000" w:themeColor="text1"/>
          <w:lang w:val="fr-FR"/>
        </w:rPr>
        <w:t>Erasmus+</w:t>
      </w:r>
      <w:r w:rsidR="00EB0005" w:rsidRPr="00250399">
        <w:rPr>
          <w:rFonts w:ascii="Arial" w:hAnsi="Arial" w:cs="Arial"/>
          <w:bCs/>
          <w:color w:val="000000" w:themeColor="text1"/>
          <w:lang w:val="fr-FR"/>
        </w:rPr>
        <w:t xml:space="preserve"> de la C</w:t>
      </w:r>
      <w:r w:rsidR="00EB0005" w:rsidRPr="00250399">
        <w:rPr>
          <w:rFonts w:ascii="Arial" w:hAnsi="Arial" w:cs="Arial"/>
          <w:color w:val="000000" w:themeColor="text1"/>
        </w:rPr>
        <w:t>omisión Europea y en el que CEOE Aragón participa junto a entidades de Italia, Eslovaquia y Letonia</w:t>
      </w:r>
      <w:r w:rsidR="000E218B">
        <w:rPr>
          <w:rFonts w:ascii="Arial" w:hAnsi="Arial" w:cs="Arial"/>
          <w:color w:val="000000" w:themeColor="text1"/>
        </w:rPr>
        <w:t>, y en el que también ha contado con la colaboración de la Asociación de Industrias de Alimentación de Aragón (AIAA)</w:t>
      </w:r>
      <w:r w:rsidR="00EB0005" w:rsidRPr="00250399">
        <w:rPr>
          <w:rFonts w:ascii="Arial" w:hAnsi="Arial" w:cs="Arial"/>
          <w:color w:val="000000" w:themeColor="text1"/>
        </w:rPr>
        <w:t>.</w:t>
      </w:r>
    </w:p>
    <w:p w:rsidR="002458EE" w:rsidRPr="00250399" w:rsidRDefault="00424291" w:rsidP="00250399">
      <w:pPr>
        <w:spacing w:after="240" w:line="300" w:lineRule="auto"/>
        <w:jc w:val="both"/>
        <w:rPr>
          <w:rFonts w:ascii="Arial" w:hAnsi="Arial" w:cs="Arial"/>
        </w:rPr>
      </w:pPr>
      <w:r w:rsidRPr="00250399">
        <w:rPr>
          <w:rFonts w:ascii="Arial" w:hAnsi="Arial" w:cs="Arial"/>
        </w:rPr>
        <w:t xml:space="preserve">A este propósito contribuyen 10 empresas aragonesas, que explican a través de vídeos disponibles en la </w:t>
      </w:r>
      <w:proofErr w:type="spellStart"/>
      <w:r w:rsidRPr="00250399">
        <w:rPr>
          <w:rFonts w:ascii="Arial" w:hAnsi="Arial" w:cs="Arial"/>
        </w:rPr>
        <w:t>web</w:t>
      </w:r>
      <w:proofErr w:type="spellEnd"/>
      <w:r w:rsidRPr="00250399">
        <w:rPr>
          <w:rFonts w:ascii="Arial" w:hAnsi="Arial" w:cs="Arial"/>
        </w:rPr>
        <w:t xml:space="preserve"> del proyecto (</w:t>
      </w:r>
      <w:hyperlink r:id="rId7" w:history="1">
        <w:r w:rsidR="00CD6F11" w:rsidRPr="00250399">
          <w:rPr>
            <w:rStyle w:val="Hipervnculo"/>
            <w:rFonts w:ascii="Arial" w:hAnsi="Arial" w:cs="Arial"/>
          </w:rPr>
          <w:t xml:space="preserve">acceso </w:t>
        </w:r>
        <w:r w:rsidR="00010DFA">
          <w:rPr>
            <w:rStyle w:val="Hipervnculo"/>
            <w:rFonts w:ascii="Arial" w:hAnsi="Arial" w:cs="Arial"/>
          </w:rPr>
          <w:t xml:space="preserve">a </w:t>
        </w:r>
        <w:r w:rsidR="00CD6F11" w:rsidRPr="00250399">
          <w:rPr>
            <w:rStyle w:val="Hipervnculo"/>
            <w:rFonts w:ascii="Arial" w:hAnsi="Arial" w:cs="Arial"/>
          </w:rPr>
          <w:t>entrevi</w:t>
        </w:r>
        <w:r w:rsidR="00CD6F11" w:rsidRPr="00250399">
          <w:rPr>
            <w:rStyle w:val="Hipervnculo"/>
            <w:rFonts w:ascii="Arial" w:hAnsi="Arial" w:cs="Arial"/>
          </w:rPr>
          <w:t>s</w:t>
        </w:r>
        <w:r w:rsidR="00CD6F11" w:rsidRPr="00250399">
          <w:rPr>
            <w:rStyle w:val="Hipervnculo"/>
            <w:rFonts w:ascii="Arial" w:hAnsi="Arial" w:cs="Arial"/>
          </w:rPr>
          <w:t>ta</w:t>
        </w:r>
        <w:r w:rsidR="00010DFA">
          <w:rPr>
            <w:rStyle w:val="Hipervnculo"/>
            <w:rFonts w:ascii="Arial" w:hAnsi="Arial" w:cs="Arial"/>
          </w:rPr>
          <w:t>s</w:t>
        </w:r>
        <w:r w:rsidR="00CD6F11" w:rsidRPr="00250399">
          <w:rPr>
            <w:rStyle w:val="Hipervnculo"/>
            <w:rFonts w:ascii="Arial" w:hAnsi="Arial" w:cs="Arial"/>
          </w:rPr>
          <w:t xml:space="preserve"> </w:t>
        </w:r>
        <w:proofErr w:type="spellStart"/>
        <w:r w:rsidR="00CD6F11" w:rsidRPr="00250399">
          <w:rPr>
            <w:rStyle w:val="Hipervnculo"/>
            <w:rFonts w:ascii="Arial" w:hAnsi="Arial" w:cs="Arial"/>
          </w:rPr>
          <w:t>IWBLabs</w:t>
        </w:r>
        <w:proofErr w:type="spellEnd"/>
      </w:hyperlink>
      <w:r w:rsidRPr="00250399">
        <w:rPr>
          <w:rFonts w:ascii="Arial" w:hAnsi="Arial" w:cs="Arial"/>
        </w:rPr>
        <w:t xml:space="preserve">) sus experiencias y actuaciones en este ámbito. </w:t>
      </w:r>
      <w:r w:rsidR="002458EE" w:rsidRPr="00250399">
        <w:rPr>
          <w:rFonts w:ascii="Arial" w:hAnsi="Arial" w:cs="Arial"/>
        </w:rPr>
        <w:t xml:space="preserve"> Así, el proyecto les facilita, asimismo, una difusión internacional al tiempo que ayudan</w:t>
      </w:r>
      <w:r w:rsidR="002458EE" w:rsidRPr="00250399">
        <w:rPr>
          <w:rFonts w:ascii="Arial" w:hAnsi="Arial" w:cs="Arial"/>
          <w:color w:val="000000" w:themeColor="text1"/>
        </w:rPr>
        <w:t xml:space="preserve"> a la meta de implicar a </w:t>
      </w:r>
      <w:r w:rsidR="002458EE" w:rsidRPr="00250399">
        <w:rPr>
          <w:rFonts w:ascii="Arial" w:hAnsi="Arial" w:cs="Arial"/>
        </w:rPr>
        <w:t xml:space="preserve">las empresas europeas del sector agroalimentario en la cualificación de sus futuros trabajadores, especialmente en aspectos de vital importancia como la internacionalización, innovación o RSC.  </w:t>
      </w:r>
    </w:p>
    <w:p w:rsidR="002458EE" w:rsidRPr="00250399" w:rsidRDefault="002458EE" w:rsidP="00250399">
      <w:pPr>
        <w:spacing w:after="240" w:line="300" w:lineRule="auto"/>
        <w:jc w:val="both"/>
        <w:rPr>
          <w:rFonts w:ascii="Arial" w:hAnsi="Arial" w:cs="Arial"/>
        </w:rPr>
      </w:pPr>
      <w:r w:rsidRPr="00250399">
        <w:rPr>
          <w:rFonts w:ascii="Arial" w:hAnsi="Arial" w:cs="Arial"/>
        </w:rPr>
        <w:t>Las empresas aragonesas particip</w:t>
      </w:r>
      <w:r w:rsidR="00CD6F11" w:rsidRPr="00250399">
        <w:rPr>
          <w:rFonts w:ascii="Arial" w:hAnsi="Arial" w:cs="Arial"/>
        </w:rPr>
        <w:t>antes, a las que se suman firmas</w:t>
      </w:r>
      <w:r w:rsidRPr="00250399">
        <w:rPr>
          <w:rFonts w:ascii="Arial" w:hAnsi="Arial" w:cs="Arial"/>
        </w:rPr>
        <w:t xml:space="preserve"> de los otros tres países participantes, son: </w:t>
      </w:r>
    </w:p>
    <w:p w:rsidR="002458EE" w:rsidRPr="00250399" w:rsidRDefault="002458EE" w:rsidP="00250399">
      <w:pPr>
        <w:spacing w:after="240" w:line="300" w:lineRule="auto"/>
        <w:jc w:val="both"/>
        <w:rPr>
          <w:rFonts w:ascii="Arial" w:hAnsi="Arial" w:cs="Arial"/>
        </w:rPr>
        <w:sectPr w:rsidR="002458EE" w:rsidRPr="00250399" w:rsidSect="004242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250399">
        <w:rPr>
          <w:rFonts w:ascii="Arial" w:eastAsia="Times New Roman" w:hAnsi="Arial" w:cs="Arial"/>
          <w:bCs/>
          <w:color w:val="000000"/>
          <w:lang w:eastAsia="es-ES"/>
        </w:rPr>
        <w:lastRenderedPageBreak/>
        <w:t>Embutidos Bernal</w:t>
      </w:r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250399">
        <w:rPr>
          <w:rFonts w:ascii="Arial" w:eastAsia="Times New Roman" w:hAnsi="Arial" w:cs="Arial"/>
          <w:bCs/>
          <w:color w:val="000000"/>
          <w:lang w:eastAsia="es-ES"/>
        </w:rPr>
        <w:t xml:space="preserve">Aceitunas </w:t>
      </w:r>
      <w:proofErr w:type="spellStart"/>
      <w:r w:rsidRPr="00250399">
        <w:rPr>
          <w:rFonts w:ascii="Arial" w:eastAsia="Times New Roman" w:hAnsi="Arial" w:cs="Arial"/>
          <w:bCs/>
          <w:color w:val="000000"/>
          <w:lang w:eastAsia="es-ES"/>
        </w:rPr>
        <w:t>Lou</w:t>
      </w:r>
      <w:proofErr w:type="spellEnd"/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250399">
        <w:rPr>
          <w:rFonts w:ascii="Arial" w:eastAsia="Times New Roman" w:hAnsi="Arial" w:cs="Arial"/>
          <w:bCs/>
          <w:color w:val="000000"/>
          <w:lang w:eastAsia="es-ES"/>
        </w:rPr>
        <w:t xml:space="preserve">La </w:t>
      </w:r>
      <w:proofErr w:type="spellStart"/>
      <w:r w:rsidRPr="00250399">
        <w:rPr>
          <w:rFonts w:ascii="Arial" w:eastAsia="Times New Roman" w:hAnsi="Arial" w:cs="Arial"/>
          <w:bCs/>
          <w:color w:val="000000"/>
          <w:lang w:eastAsia="es-ES"/>
        </w:rPr>
        <w:t>Jamonería</w:t>
      </w:r>
      <w:proofErr w:type="spellEnd"/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50399">
        <w:rPr>
          <w:rFonts w:ascii="Arial" w:eastAsia="Times New Roman" w:hAnsi="Arial" w:cs="Arial"/>
          <w:bCs/>
          <w:color w:val="000000"/>
          <w:lang w:eastAsia="es-ES"/>
        </w:rPr>
        <w:t>Inverpoint</w:t>
      </w:r>
      <w:proofErr w:type="spellEnd"/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250399">
        <w:rPr>
          <w:rFonts w:ascii="Arial" w:eastAsia="Times New Roman" w:hAnsi="Arial" w:cs="Arial"/>
          <w:bCs/>
          <w:color w:val="000000"/>
          <w:lang w:eastAsia="es-ES"/>
        </w:rPr>
        <w:t xml:space="preserve">Bodegas </w:t>
      </w:r>
      <w:proofErr w:type="spellStart"/>
      <w:r w:rsidRPr="00250399">
        <w:rPr>
          <w:rFonts w:ascii="Arial" w:eastAsia="Times New Roman" w:hAnsi="Arial" w:cs="Arial"/>
          <w:bCs/>
          <w:color w:val="000000"/>
          <w:lang w:eastAsia="es-ES"/>
        </w:rPr>
        <w:t>Ruberte</w:t>
      </w:r>
      <w:proofErr w:type="spellEnd"/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250399">
        <w:rPr>
          <w:rFonts w:ascii="Arial" w:eastAsia="Times New Roman" w:hAnsi="Arial" w:cs="Arial"/>
          <w:bCs/>
          <w:color w:val="000000"/>
          <w:lang w:eastAsia="es-ES"/>
        </w:rPr>
        <w:lastRenderedPageBreak/>
        <w:t xml:space="preserve">Cafés </w:t>
      </w:r>
      <w:proofErr w:type="spellStart"/>
      <w:r w:rsidRPr="00250399">
        <w:rPr>
          <w:rFonts w:ascii="Arial" w:eastAsia="Times New Roman" w:hAnsi="Arial" w:cs="Arial"/>
          <w:bCs/>
          <w:color w:val="000000"/>
          <w:lang w:eastAsia="es-ES"/>
        </w:rPr>
        <w:t>Orús</w:t>
      </w:r>
      <w:proofErr w:type="spellEnd"/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250399">
        <w:rPr>
          <w:rFonts w:ascii="Arial" w:eastAsia="Times New Roman" w:hAnsi="Arial" w:cs="Arial"/>
          <w:bCs/>
          <w:color w:val="000000"/>
          <w:lang w:eastAsia="es-ES"/>
        </w:rPr>
        <w:t>Casa Matachín</w:t>
      </w:r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50399">
        <w:rPr>
          <w:rFonts w:ascii="Arial" w:eastAsia="Times New Roman" w:hAnsi="Arial" w:cs="Arial"/>
          <w:bCs/>
          <w:color w:val="000000"/>
          <w:lang w:eastAsia="es-ES"/>
        </w:rPr>
        <w:t>Nerion</w:t>
      </w:r>
      <w:proofErr w:type="spellEnd"/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250399">
        <w:rPr>
          <w:rFonts w:ascii="Arial" w:eastAsia="Times New Roman" w:hAnsi="Arial" w:cs="Arial"/>
          <w:bCs/>
          <w:color w:val="000000"/>
          <w:lang w:eastAsia="es-ES"/>
        </w:rPr>
        <w:t>El Portal</w:t>
      </w:r>
    </w:p>
    <w:p w:rsidR="00424291" w:rsidRPr="00250399" w:rsidRDefault="00424291" w:rsidP="00250399">
      <w:pPr>
        <w:numPr>
          <w:ilvl w:val="0"/>
          <w:numId w:val="4"/>
        </w:numPr>
        <w:spacing w:after="240" w:line="30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50399">
        <w:rPr>
          <w:rFonts w:ascii="Arial" w:eastAsia="Times New Roman" w:hAnsi="Arial" w:cs="Arial"/>
          <w:bCs/>
          <w:color w:val="000000"/>
          <w:lang w:eastAsia="es-ES"/>
        </w:rPr>
        <w:t>Taisi</w:t>
      </w:r>
      <w:proofErr w:type="spellEnd"/>
    </w:p>
    <w:p w:rsidR="002458EE" w:rsidRPr="00250399" w:rsidRDefault="002458EE" w:rsidP="00250399">
      <w:pPr>
        <w:pStyle w:val="Prrafodelista"/>
        <w:numPr>
          <w:ilvl w:val="0"/>
          <w:numId w:val="4"/>
        </w:numPr>
        <w:spacing w:after="240" w:line="300" w:lineRule="auto"/>
        <w:jc w:val="both"/>
        <w:rPr>
          <w:rFonts w:ascii="Arial" w:hAnsi="Arial" w:cs="Arial"/>
        </w:rPr>
        <w:sectPr w:rsidR="002458EE" w:rsidRPr="00250399" w:rsidSect="002458EE">
          <w:headerReference w:type="default" r:id="rId14"/>
          <w:footerReference w:type="default" r:id="rId15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D6F11" w:rsidRPr="00250399" w:rsidRDefault="002458EE" w:rsidP="00250399">
      <w:pPr>
        <w:spacing w:after="240" w:line="300" w:lineRule="auto"/>
        <w:jc w:val="both"/>
        <w:rPr>
          <w:rFonts w:ascii="Arial" w:hAnsi="Arial" w:cs="Arial"/>
          <w:color w:val="000000"/>
        </w:rPr>
      </w:pPr>
      <w:r w:rsidRPr="00250399">
        <w:rPr>
          <w:rFonts w:ascii="Arial" w:hAnsi="Arial" w:cs="Arial"/>
        </w:rPr>
        <w:lastRenderedPageBreak/>
        <w:t xml:space="preserve">Para incidir </w:t>
      </w:r>
      <w:r w:rsidR="00CD6F11" w:rsidRPr="00250399">
        <w:rPr>
          <w:rFonts w:ascii="Arial" w:hAnsi="Arial" w:cs="Arial"/>
        </w:rPr>
        <w:t>en la formación y la internacionalización</w:t>
      </w:r>
      <w:r w:rsidRPr="00250399">
        <w:rPr>
          <w:rFonts w:ascii="Arial" w:hAnsi="Arial" w:cs="Arial"/>
        </w:rPr>
        <w:t xml:space="preserve"> con mayor eficacia, también </w:t>
      </w:r>
      <w:r w:rsidR="00CD6F11" w:rsidRPr="00250399">
        <w:rPr>
          <w:rFonts w:ascii="Arial" w:hAnsi="Arial" w:cs="Arial"/>
        </w:rPr>
        <w:t xml:space="preserve">se pretende </w:t>
      </w:r>
      <w:r w:rsidRPr="00250399">
        <w:rPr>
          <w:rFonts w:ascii="Arial" w:hAnsi="Arial" w:cs="Arial"/>
        </w:rPr>
        <w:t>fomentar la movilidad de estudiantes dentro de la Unión Europea,  promoviendo su conocimiento del sector en distintos países</w:t>
      </w:r>
      <w:r w:rsidR="00CD6F11" w:rsidRPr="00250399">
        <w:rPr>
          <w:rFonts w:ascii="Arial" w:hAnsi="Arial" w:cs="Arial"/>
        </w:rPr>
        <w:t xml:space="preserve">. En este plano, está previsto establecer en la siguiente fase del proyecto </w:t>
      </w:r>
      <w:r w:rsidRPr="00250399">
        <w:rPr>
          <w:rFonts w:ascii="Arial" w:hAnsi="Arial" w:cs="Arial"/>
        </w:rPr>
        <w:t xml:space="preserve"> </w:t>
      </w:r>
      <w:r w:rsidR="00250399" w:rsidRPr="00250399">
        <w:rPr>
          <w:rFonts w:ascii="Arial" w:hAnsi="Arial" w:cs="Arial"/>
        </w:rPr>
        <w:t xml:space="preserve">(que concluirá a finales de 2018) </w:t>
      </w:r>
      <w:r w:rsidR="00B74EBC" w:rsidRPr="00250399">
        <w:rPr>
          <w:rFonts w:ascii="Arial" w:hAnsi="Arial" w:cs="Arial"/>
        </w:rPr>
        <w:t xml:space="preserve">un sistema de prácticas virtuales para jóvenes en compañías de </w:t>
      </w:r>
      <w:r w:rsidR="00CD6F11" w:rsidRPr="00250399">
        <w:rPr>
          <w:rFonts w:ascii="Arial" w:hAnsi="Arial" w:cs="Arial"/>
        </w:rPr>
        <w:t xml:space="preserve">los países participantes, así como un curso multimedia orientado a este sector y dirigido a estudiantes de 16 a 18 años,  que será validado por </w:t>
      </w:r>
      <w:r w:rsidR="00CD6F11" w:rsidRPr="00250399">
        <w:rPr>
          <w:rFonts w:ascii="Arial" w:hAnsi="Arial" w:cs="Arial"/>
          <w:color w:val="000000"/>
        </w:rPr>
        <w:t>expertos del mundo empresarial y de centros formativos.</w:t>
      </w:r>
    </w:p>
    <w:sectPr w:rsidR="00CD6F11" w:rsidRPr="00250399" w:rsidSect="0042429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FA" w:rsidRDefault="00010DFA" w:rsidP="00CF4215">
      <w:pPr>
        <w:spacing w:after="0" w:line="240" w:lineRule="auto"/>
      </w:pPr>
      <w:r>
        <w:separator/>
      </w:r>
    </w:p>
  </w:endnote>
  <w:endnote w:type="continuationSeparator" w:id="0">
    <w:p w:rsidR="00010DFA" w:rsidRDefault="00010DFA" w:rsidP="00C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FA" w:rsidRDefault="00010D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FA" w:rsidRPr="002E36B6" w:rsidRDefault="00010DFA" w:rsidP="00E4496D">
    <w:r>
      <w:rPr>
        <w:sz w:val="18"/>
        <w:szCs w:val="18"/>
      </w:rPr>
      <w:t>Para más información, contactar con Dpto. de Comunicación de CEOE Aragón (</w:t>
    </w:r>
    <w:proofErr w:type="spellStart"/>
    <w:r>
      <w:rPr>
        <w:sz w:val="18"/>
        <w:szCs w:val="18"/>
      </w:rPr>
      <w:t>Inma</w:t>
    </w:r>
    <w:proofErr w:type="spellEnd"/>
    <w:r>
      <w:rPr>
        <w:sz w:val="18"/>
        <w:szCs w:val="18"/>
      </w:rPr>
      <w:t xml:space="preserve"> Mayoral). </w:t>
    </w:r>
    <w:proofErr w:type="spellStart"/>
    <w:r>
      <w:rPr>
        <w:sz w:val="18"/>
        <w:szCs w:val="18"/>
      </w:rPr>
      <w:t>Tfno</w:t>
    </w:r>
    <w:proofErr w:type="spellEnd"/>
    <w:r w:rsidRPr="00552E80">
      <w:rPr>
        <w:sz w:val="18"/>
        <w:szCs w:val="18"/>
      </w:rPr>
      <w:t>: 976 46 00 66</w:t>
    </w:r>
    <w:r>
      <w:rPr>
        <w:sz w:val="18"/>
        <w:szCs w:val="18"/>
      </w:rPr>
      <w:t xml:space="preserve"> Correo electrónico</w:t>
    </w:r>
    <w:r w:rsidRPr="00552E80">
      <w:rPr>
        <w:sz w:val="18"/>
        <w:szCs w:val="18"/>
      </w:rPr>
      <w:t xml:space="preserve">: </w:t>
    </w:r>
    <w:r>
      <w:rPr>
        <w:sz w:val="18"/>
        <w:szCs w:val="18"/>
      </w:rPr>
      <w:t>imayoral</w:t>
    </w:r>
    <w:r w:rsidRPr="00552E80">
      <w:rPr>
        <w:sz w:val="18"/>
        <w:szCs w:val="18"/>
      </w:rPr>
      <w:t>@c</w:t>
    </w:r>
    <w:r>
      <w:rPr>
        <w:sz w:val="18"/>
        <w:szCs w:val="18"/>
      </w:rPr>
      <w:t>eoearagon.es</w:t>
    </w:r>
  </w:p>
  <w:p w:rsidR="00010DFA" w:rsidRDefault="00010D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FA" w:rsidRDefault="00010DFA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FA" w:rsidRPr="002E36B6" w:rsidRDefault="00010DFA" w:rsidP="00E4496D">
    <w:r>
      <w:rPr>
        <w:sz w:val="18"/>
        <w:szCs w:val="18"/>
      </w:rPr>
      <w:t>Para más información, contactar con Dpto. de Comunicación de CEOE Aragón (</w:t>
    </w:r>
    <w:proofErr w:type="spellStart"/>
    <w:r>
      <w:rPr>
        <w:sz w:val="18"/>
        <w:szCs w:val="18"/>
      </w:rPr>
      <w:t>Inma</w:t>
    </w:r>
    <w:proofErr w:type="spellEnd"/>
    <w:r>
      <w:rPr>
        <w:sz w:val="18"/>
        <w:szCs w:val="18"/>
      </w:rPr>
      <w:t xml:space="preserve"> Mayoral). </w:t>
    </w:r>
    <w:proofErr w:type="spellStart"/>
    <w:r>
      <w:rPr>
        <w:sz w:val="18"/>
        <w:szCs w:val="18"/>
      </w:rPr>
      <w:t>Tfno</w:t>
    </w:r>
    <w:proofErr w:type="spellEnd"/>
    <w:r w:rsidRPr="00552E80">
      <w:rPr>
        <w:sz w:val="18"/>
        <w:szCs w:val="18"/>
      </w:rPr>
      <w:t>: 976 46 00 66</w:t>
    </w:r>
    <w:r>
      <w:rPr>
        <w:sz w:val="18"/>
        <w:szCs w:val="18"/>
      </w:rPr>
      <w:t xml:space="preserve"> Correo electrónico</w:t>
    </w:r>
    <w:r w:rsidRPr="00552E80">
      <w:rPr>
        <w:sz w:val="18"/>
        <w:szCs w:val="18"/>
      </w:rPr>
      <w:t>: comunicacion@c</w:t>
    </w:r>
    <w:r>
      <w:rPr>
        <w:sz w:val="18"/>
        <w:szCs w:val="18"/>
      </w:rPr>
      <w:t>eoearagon.es</w:t>
    </w:r>
  </w:p>
  <w:p w:rsidR="00010DFA" w:rsidRDefault="00010D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FA" w:rsidRDefault="00010DFA" w:rsidP="00CF4215">
      <w:pPr>
        <w:spacing w:after="0" w:line="240" w:lineRule="auto"/>
      </w:pPr>
      <w:r>
        <w:separator/>
      </w:r>
    </w:p>
  </w:footnote>
  <w:footnote w:type="continuationSeparator" w:id="0">
    <w:p w:rsidR="00010DFA" w:rsidRDefault="00010DFA" w:rsidP="00CF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FA" w:rsidRDefault="00010D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FA" w:rsidRDefault="00010D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3634740</wp:posOffset>
          </wp:positionH>
          <wp:positionV relativeFrom="paragraph">
            <wp:posOffset>79375</wp:posOffset>
          </wp:positionV>
          <wp:extent cx="1808480" cy="775335"/>
          <wp:effectExtent l="19050" t="0" r="1270" b="0"/>
          <wp:wrapSquare wrapText="bothSides"/>
          <wp:docPr id="5" name="0 Imagen" descr="logo CEOE Arag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OE Arag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496D">
      <w:rPr>
        <w:noProof/>
        <w:lang w:eastAsia="es-ES"/>
      </w:rPr>
      <w:drawing>
        <wp:inline distT="0" distB="0" distL="0" distR="0">
          <wp:extent cx="856855" cy="856083"/>
          <wp:effectExtent l="19050" t="0" r="395" b="0"/>
          <wp:docPr id="6" name="Imagen 2" descr="C:\Users\inma\AppData\Local\Temp\notesE3D762\Logo-NET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ma\AppData\Local\Temp\notesE3D762\Logo-NET-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8" cy="85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FA" w:rsidRDefault="00010DFA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FA" w:rsidRDefault="00010D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3634740</wp:posOffset>
          </wp:positionH>
          <wp:positionV relativeFrom="paragraph">
            <wp:posOffset>79375</wp:posOffset>
          </wp:positionV>
          <wp:extent cx="1808480" cy="775335"/>
          <wp:effectExtent l="19050" t="0" r="1270" b="0"/>
          <wp:wrapSquare wrapText="bothSides"/>
          <wp:docPr id="3" name="0 Imagen" descr="logo CEOE Arag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OE Arag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496D">
      <w:rPr>
        <w:noProof/>
        <w:lang w:eastAsia="es-ES"/>
      </w:rPr>
      <w:drawing>
        <wp:inline distT="0" distB="0" distL="0" distR="0">
          <wp:extent cx="856855" cy="856083"/>
          <wp:effectExtent l="19050" t="0" r="395" b="0"/>
          <wp:docPr id="2" name="Imagen 2" descr="C:\Users\inma\AppData\Local\Temp\notesE3D762\Logo-NET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ma\AppData\Local\Temp\notesE3D762\Logo-NET-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8" cy="85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1AE"/>
    <w:multiLevelType w:val="hybridMultilevel"/>
    <w:tmpl w:val="DBF24E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325F3"/>
    <w:multiLevelType w:val="multilevel"/>
    <w:tmpl w:val="1C7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567BA"/>
    <w:multiLevelType w:val="hybridMultilevel"/>
    <w:tmpl w:val="52FE482C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A7891"/>
    <w:multiLevelType w:val="multilevel"/>
    <w:tmpl w:val="2902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868F8"/>
    <w:rsid w:val="00010DFA"/>
    <w:rsid w:val="00076C13"/>
    <w:rsid w:val="000868F8"/>
    <w:rsid w:val="00093D4D"/>
    <w:rsid w:val="000B6501"/>
    <w:rsid w:val="000E218B"/>
    <w:rsid w:val="00161ABE"/>
    <w:rsid w:val="0022293F"/>
    <w:rsid w:val="002458EE"/>
    <w:rsid w:val="00250399"/>
    <w:rsid w:val="002F6E7E"/>
    <w:rsid w:val="0035385E"/>
    <w:rsid w:val="003D69B9"/>
    <w:rsid w:val="004115FD"/>
    <w:rsid w:val="00411DF6"/>
    <w:rsid w:val="004212B3"/>
    <w:rsid w:val="00424291"/>
    <w:rsid w:val="004D406C"/>
    <w:rsid w:val="005F5DF8"/>
    <w:rsid w:val="006F4591"/>
    <w:rsid w:val="00730283"/>
    <w:rsid w:val="007415E9"/>
    <w:rsid w:val="007A7AA2"/>
    <w:rsid w:val="008367C1"/>
    <w:rsid w:val="00857BA0"/>
    <w:rsid w:val="00867288"/>
    <w:rsid w:val="008B79DA"/>
    <w:rsid w:val="00905E89"/>
    <w:rsid w:val="00A06B4B"/>
    <w:rsid w:val="00A323A5"/>
    <w:rsid w:val="00AC3336"/>
    <w:rsid w:val="00AF07FD"/>
    <w:rsid w:val="00B005A4"/>
    <w:rsid w:val="00B21A42"/>
    <w:rsid w:val="00B5512F"/>
    <w:rsid w:val="00B74EBC"/>
    <w:rsid w:val="00BE2B5D"/>
    <w:rsid w:val="00C1616F"/>
    <w:rsid w:val="00C33286"/>
    <w:rsid w:val="00C656E3"/>
    <w:rsid w:val="00CB3AEA"/>
    <w:rsid w:val="00CD6F11"/>
    <w:rsid w:val="00CF4215"/>
    <w:rsid w:val="00D24424"/>
    <w:rsid w:val="00D26832"/>
    <w:rsid w:val="00D84659"/>
    <w:rsid w:val="00DC2DCC"/>
    <w:rsid w:val="00E4496D"/>
    <w:rsid w:val="00EB0005"/>
    <w:rsid w:val="00F1303C"/>
    <w:rsid w:val="00F570BA"/>
    <w:rsid w:val="00F9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4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4215"/>
  </w:style>
  <w:style w:type="paragraph" w:styleId="Piedepgina">
    <w:name w:val="footer"/>
    <w:basedOn w:val="Normal"/>
    <w:link w:val="PiedepginaCar"/>
    <w:uiPriority w:val="99"/>
    <w:semiHidden/>
    <w:unhideWhenUsed/>
    <w:rsid w:val="00CF4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215"/>
  </w:style>
  <w:style w:type="paragraph" w:styleId="Textodeglobo">
    <w:name w:val="Balloon Text"/>
    <w:basedOn w:val="Normal"/>
    <w:link w:val="TextodegloboCar"/>
    <w:uiPriority w:val="99"/>
    <w:semiHidden/>
    <w:unhideWhenUsed/>
    <w:rsid w:val="00CF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2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D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A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wblabs.pixel-online.org/interviews.ph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inma</cp:lastModifiedBy>
  <cp:revision>12</cp:revision>
  <cp:lastPrinted>2017-10-30T13:18:00Z</cp:lastPrinted>
  <dcterms:created xsi:type="dcterms:W3CDTF">2017-10-24T12:37:00Z</dcterms:created>
  <dcterms:modified xsi:type="dcterms:W3CDTF">2017-11-10T09:46:00Z</dcterms:modified>
</cp:coreProperties>
</file>